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BCB0DE" w14:textId="77777777" w:rsidR="007672FF" w:rsidRPr="00FD569C" w:rsidRDefault="007672FF" w:rsidP="007672FF">
      <w:pPr>
        <w:pStyle w:val="BodyText"/>
        <w:rPr>
          <w:sz w:val="24"/>
          <w:szCs w:val="24"/>
        </w:rPr>
      </w:pPr>
      <w:bookmarkStart w:id="0" w:name="_GoBack"/>
      <w:bookmarkEnd w:id="0"/>
      <w:r w:rsidRPr="00FD569C">
        <w:rPr>
          <w:b/>
          <w:sz w:val="24"/>
          <w:szCs w:val="24"/>
        </w:rPr>
        <w:t xml:space="preserve">The </w:t>
      </w:r>
      <w:proofErr w:type="spellStart"/>
      <w:r w:rsidRPr="00FD569C">
        <w:rPr>
          <w:b/>
          <w:sz w:val="24"/>
          <w:szCs w:val="24"/>
        </w:rPr>
        <w:t>Acquis</w:t>
      </w:r>
      <w:proofErr w:type="spellEnd"/>
      <w:r w:rsidRPr="00FD569C">
        <w:rPr>
          <w:b/>
          <w:sz w:val="24"/>
          <w:szCs w:val="24"/>
        </w:rPr>
        <w:t xml:space="preserve"> Communautaire</w:t>
      </w:r>
    </w:p>
    <w:p w14:paraId="4BDA1F45" w14:textId="77777777" w:rsidR="007672FF" w:rsidRPr="00FD569C" w:rsidRDefault="007672FF" w:rsidP="007672FF">
      <w:pPr>
        <w:pStyle w:val="BodyText"/>
        <w:rPr>
          <w:b/>
          <w:sz w:val="22"/>
          <w:szCs w:val="22"/>
        </w:rPr>
      </w:pPr>
      <w:r w:rsidRPr="00FD569C">
        <w:rPr>
          <w:b/>
          <w:sz w:val="22"/>
          <w:szCs w:val="22"/>
        </w:rPr>
        <w:t>Summary</w:t>
      </w:r>
    </w:p>
    <w:p w14:paraId="09EE8631" w14:textId="77777777" w:rsidR="007672FF" w:rsidRPr="00FD569C" w:rsidRDefault="007672FF" w:rsidP="007672FF">
      <w:pPr>
        <w:pStyle w:val="BodyText"/>
        <w:rPr>
          <w:sz w:val="22"/>
          <w:szCs w:val="22"/>
        </w:rPr>
      </w:pPr>
      <w:r w:rsidRPr="00FD569C">
        <w:rPr>
          <w:sz w:val="22"/>
          <w:szCs w:val="22"/>
        </w:rPr>
        <w:t xml:space="preserve">The overriding role of the European Court of Justice is to ensure that a single European super-state is completed. The </w:t>
      </w:r>
      <w:proofErr w:type="spellStart"/>
      <w:r w:rsidRPr="00FD569C">
        <w:rPr>
          <w:i/>
          <w:sz w:val="22"/>
          <w:szCs w:val="22"/>
        </w:rPr>
        <w:t>Acquis</w:t>
      </w:r>
      <w:proofErr w:type="spellEnd"/>
      <w:r w:rsidRPr="00FD569C">
        <w:rPr>
          <w:i/>
          <w:sz w:val="22"/>
          <w:szCs w:val="22"/>
        </w:rPr>
        <w:t xml:space="preserve"> Communautaire</w:t>
      </w:r>
      <w:r w:rsidRPr="00FD569C">
        <w:rPr>
          <w:sz w:val="22"/>
          <w:szCs w:val="22"/>
        </w:rPr>
        <w:t xml:space="preserve"> is central to this process. It requires all judgments of the European Court to be under-pinned by the expectation that the judgments are always directed towards a single state and that this process is irreversible.</w:t>
      </w:r>
    </w:p>
    <w:p w14:paraId="1E9EBD66" w14:textId="77777777" w:rsidR="007672FF" w:rsidRPr="00FD569C" w:rsidRDefault="007672FF" w:rsidP="007672FF">
      <w:pPr>
        <w:pStyle w:val="BodyText"/>
        <w:rPr>
          <w:sz w:val="22"/>
          <w:szCs w:val="22"/>
        </w:rPr>
      </w:pPr>
      <w:r w:rsidRPr="00FD569C">
        <w:rPr>
          <w:sz w:val="22"/>
          <w:szCs w:val="22"/>
        </w:rPr>
        <w:t>This results in putting the unelected court at the forefront of all changes to the EU constitution, as well as carrying out its usual arbitration functions.</w:t>
      </w:r>
    </w:p>
    <w:p w14:paraId="4AD4C35A" w14:textId="77777777" w:rsidR="007672FF" w:rsidRPr="00FD569C" w:rsidRDefault="007672FF" w:rsidP="007672FF">
      <w:pPr>
        <w:pStyle w:val="BodyText"/>
        <w:rPr>
          <w:sz w:val="22"/>
          <w:szCs w:val="22"/>
        </w:rPr>
      </w:pPr>
      <w:r w:rsidRPr="00FD569C">
        <w:rPr>
          <w:sz w:val="22"/>
          <w:szCs w:val="22"/>
        </w:rPr>
        <w:t xml:space="preserve">Nowhere in the Constitution of the European Union is there a direct relationship between the electorate and the government. The European Union therefore is not democratic. </w:t>
      </w:r>
    </w:p>
    <w:p w14:paraId="5F57309B" w14:textId="77777777" w:rsidR="007672FF" w:rsidRPr="00FD569C" w:rsidRDefault="007672FF" w:rsidP="007672FF">
      <w:pPr>
        <w:spacing w:after="120"/>
        <w:rPr>
          <w:sz w:val="22"/>
          <w:szCs w:val="22"/>
        </w:rPr>
      </w:pPr>
    </w:p>
    <w:p w14:paraId="2EF08D24" w14:textId="77777777" w:rsidR="007672FF" w:rsidRPr="00FD569C" w:rsidRDefault="007672FF" w:rsidP="007672FF">
      <w:pPr>
        <w:spacing w:after="120"/>
        <w:rPr>
          <w:sz w:val="22"/>
          <w:szCs w:val="22"/>
        </w:rPr>
      </w:pPr>
      <w:r w:rsidRPr="00FD569C">
        <w:rPr>
          <w:sz w:val="22"/>
          <w:szCs w:val="22"/>
        </w:rPr>
        <w:t xml:space="preserve">Notes </w:t>
      </w:r>
      <w:r>
        <w:rPr>
          <w:sz w:val="22"/>
          <w:szCs w:val="22"/>
        </w:rPr>
        <w:t xml:space="preserve">taken </w:t>
      </w:r>
      <w:r w:rsidRPr="00FD569C">
        <w:rPr>
          <w:sz w:val="22"/>
          <w:szCs w:val="22"/>
        </w:rPr>
        <w:t>from</w:t>
      </w:r>
      <w:r w:rsidRPr="00CC480B">
        <w:rPr>
          <w:sz w:val="22"/>
          <w:szCs w:val="22"/>
        </w:rPr>
        <w:t xml:space="preserve"> </w:t>
      </w:r>
      <w:r w:rsidRPr="00FD569C">
        <w:rPr>
          <w:sz w:val="22"/>
          <w:szCs w:val="22"/>
        </w:rPr>
        <w:t>official publications of the EU:-</w:t>
      </w:r>
    </w:p>
    <w:p w14:paraId="5D6367F5" w14:textId="77777777" w:rsidR="007672FF" w:rsidRPr="00CC480B" w:rsidRDefault="007672FF" w:rsidP="007672FF">
      <w:pPr>
        <w:spacing w:after="120"/>
        <w:rPr>
          <w:rStyle w:val="Hyperlink"/>
          <w:color w:val="0000FF"/>
          <w:sz w:val="22"/>
          <w:szCs w:val="22"/>
        </w:rPr>
      </w:pPr>
      <w:r w:rsidRPr="00CC480B">
        <w:rPr>
          <w:color w:val="0000FF"/>
          <w:sz w:val="22"/>
          <w:szCs w:val="22"/>
        </w:rPr>
        <w:t>http://eur-lex.europa.eu/summary/glossary/acquis.html</w:t>
      </w:r>
    </w:p>
    <w:p w14:paraId="4997FF97" w14:textId="77777777" w:rsidR="007672FF" w:rsidRPr="00CC480B" w:rsidRDefault="007672FF" w:rsidP="007672FF">
      <w:pPr>
        <w:pStyle w:val="BodyText"/>
        <w:rPr>
          <w:color w:val="0000FF"/>
          <w:sz w:val="22"/>
          <w:szCs w:val="22"/>
        </w:rPr>
      </w:pPr>
      <w:r w:rsidRPr="00CC480B">
        <w:rPr>
          <w:rStyle w:val="Hyperlink"/>
          <w:color w:val="0000FF"/>
          <w:sz w:val="22"/>
          <w:szCs w:val="22"/>
        </w:rPr>
        <w:t>http://en.euabc.com/word/853</w:t>
      </w:r>
    </w:p>
    <w:p w14:paraId="673518AC" w14:textId="77777777" w:rsidR="007672FF" w:rsidRPr="00CC480B" w:rsidRDefault="007672FF" w:rsidP="007672FF">
      <w:pPr>
        <w:pStyle w:val="Heading3"/>
        <w:numPr>
          <w:ilvl w:val="2"/>
          <w:numId w:val="2"/>
        </w:numPr>
        <w:spacing w:before="0"/>
        <w:rPr>
          <w:b/>
          <w:sz w:val="22"/>
          <w:szCs w:val="22"/>
        </w:rPr>
      </w:pPr>
      <w:proofErr w:type="spellStart"/>
      <w:r w:rsidRPr="00CC480B">
        <w:rPr>
          <w:b/>
          <w:sz w:val="22"/>
          <w:szCs w:val="22"/>
        </w:rPr>
        <w:t>Acquis</w:t>
      </w:r>
      <w:proofErr w:type="spellEnd"/>
    </w:p>
    <w:p w14:paraId="7B006FFF" w14:textId="77777777" w:rsidR="007672FF" w:rsidRPr="00FD569C" w:rsidRDefault="007672FF" w:rsidP="007672FF">
      <w:pPr>
        <w:pStyle w:val="BodyText"/>
        <w:rPr>
          <w:sz w:val="22"/>
          <w:szCs w:val="22"/>
        </w:rPr>
      </w:pPr>
      <w:r w:rsidRPr="00FD569C">
        <w:rPr>
          <w:sz w:val="22"/>
          <w:szCs w:val="22"/>
        </w:rPr>
        <w:t>The EU's '</w:t>
      </w:r>
      <w:proofErr w:type="spellStart"/>
      <w:r w:rsidRPr="00FD569C">
        <w:rPr>
          <w:sz w:val="22"/>
          <w:szCs w:val="22"/>
        </w:rPr>
        <w:t>acquis</w:t>
      </w:r>
      <w:proofErr w:type="spellEnd"/>
      <w:r w:rsidRPr="00FD569C">
        <w:rPr>
          <w:sz w:val="22"/>
          <w:szCs w:val="22"/>
        </w:rPr>
        <w:t>' is the body of common rights and obligations that are binding on all EU countries, as EU Members. It is constantly evolving and comprises:</w:t>
      </w:r>
    </w:p>
    <w:p w14:paraId="5AD590F5" w14:textId="77777777" w:rsidR="007672FF" w:rsidRPr="00FD569C" w:rsidRDefault="007672FF" w:rsidP="007672FF">
      <w:pPr>
        <w:pStyle w:val="BodyText"/>
        <w:numPr>
          <w:ilvl w:val="0"/>
          <w:numId w:val="3"/>
        </w:numPr>
        <w:tabs>
          <w:tab w:val="left" w:pos="707"/>
        </w:tabs>
        <w:rPr>
          <w:sz w:val="22"/>
          <w:szCs w:val="22"/>
        </w:rPr>
      </w:pPr>
      <w:r w:rsidRPr="00FD569C">
        <w:rPr>
          <w:sz w:val="22"/>
          <w:szCs w:val="22"/>
        </w:rPr>
        <w:t xml:space="preserve">the content, principles and political objectives of the Treaties; </w:t>
      </w:r>
    </w:p>
    <w:p w14:paraId="4E26E2A4" w14:textId="77777777" w:rsidR="007672FF" w:rsidRPr="00FD569C" w:rsidRDefault="007672FF" w:rsidP="007672FF">
      <w:pPr>
        <w:pStyle w:val="BodyText"/>
        <w:numPr>
          <w:ilvl w:val="0"/>
          <w:numId w:val="3"/>
        </w:numPr>
        <w:tabs>
          <w:tab w:val="left" w:pos="707"/>
        </w:tabs>
        <w:rPr>
          <w:sz w:val="22"/>
          <w:szCs w:val="22"/>
        </w:rPr>
      </w:pPr>
      <w:r w:rsidRPr="00FD569C">
        <w:rPr>
          <w:sz w:val="22"/>
          <w:szCs w:val="22"/>
        </w:rPr>
        <w:t xml:space="preserve">legislation adopted in application of the treaties and the case law of the Court of Justice of the EU; </w:t>
      </w:r>
    </w:p>
    <w:p w14:paraId="44D18D09" w14:textId="77777777" w:rsidR="007672FF" w:rsidRPr="00FD569C" w:rsidRDefault="007672FF" w:rsidP="007672FF">
      <w:pPr>
        <w:pStyle w:val="BodyText"/>
        <w:numPr>
          <w:ilvl w:val="0"/>
          <w:numId w:val="3"/>
        </w:numPr>
        <w:tabs>
          <w:tab w:val="left" w:pos="707"/>
        </w:tabs>
        <w:rPr>
          <w:sz w:val="22"/>
          <w:szCs w:val="22"/>
        </w:rPr>
      </w:pPr>
      <w:r w:rsidRPr="00FD569C">
        <w:rPr>
          <w:sz w:val="22"/>
          <w:szCs w:val="22"/>
        </w:rPr>
        <w:t xml:space="preserve">declarations and resolutions adopted by the EU; </w:t>
      </w:r>
    </w:p>
    <w:p w14:paraId="361C7BD8" w14:textId="77777777" w:rsidR="007672FF" w:rsidRPr="00FD569C" w:rsidRDefault="007672FF" w:rsidP="007672FF">
      <w:pPr>
        <w:pStyle w:val="BodyText"/>
        <w:numPr>
          <w:ilvl w:val="0"/>
          <w:numId w:val="3"/>
        </w:numPr>
        <w:tabs>
          <w:tab w:val="left" w:pos="707"/>
        </w:tabs>
        <w:rPr>
          <w:sz w:val="22"/>
          <w:szCs w:val="22"/>
        </w:rPr>
      </w:pPr>
      <w:r w:rsidRPr="00FD569C">
        <w:rPr>
          <w:sz w:val="22"/>
          <w:szCs w:val="22"/>
        </w:rPr>
        <w:t xml:space="preserve">measures relating to the common foreign and security policy; </w:t>
      </w:r>
    </w:p>
    <w:p w14:paraId="7DC7E4AF" w14:textId="77777777" w:rsidR="007672FF" w:rsidRPr="00FD569C" w:rsidRDefault="007672FF" w:rsidP="007672FF">
      <w:pPr>
        <w:pStyle w:val="BodyText"/>
        <w:numPr>
          <w:ilvl w:val="0"/>
          <w:numId w:val="3"/>
        </w:numPr>
        <w:tabs>
          <w:tab w:val="left" w:pos="707"/>
        </w:tabs>
        <w:rPr>
          <w:sz w:val="22"/>
          <w:szCs w:val="22"/>
        </w:rPr>
      </w:pPr>
      <w:r w:rsidRPr="00FD569C">
        <w:rPr>
          <w:sz w:val="22"/>
          <w:szCs w:val="22"/>
        </w:rPr>
        <w:t xml:space="preserve">measures relating to justice and home affairs; </w:t>
      </w:r>
    </w:p>
    <w:p w14:paraId="789CF7E5" w14:textId="77777777" w:rsidR="007672FF" w:rsidRPr="00FD569C" w:rsidRDefault="007672FF" w:rsidP="007672FF">
      <w:pPr>
        <w:pStyle w:val="BodyText"/>
        <w:numPr>
          <w:ilvl w:val="0"/>
          <w:numId w:val="3"/>
        </w:numPr>
        <w:tabs>
          <w:tab w:val="left" w:pos="707"/>
        </w:tabs>
        <w:rPr>
          <w:sz w:val="22"/>
          <w:szCs w:val="22"/>
        </w:rPr>
      </w:pPr>
      <w:r w:rsidRPr="00FD569C">
        <w:rPr>
          <w:sz w:val="22"/>
          <w:szCs w:val="22"/>
        </w:rPr>
        <w:t xml:space="preserve">international agreements concluded by the EU and those concluded by the EU countries between themselves in the field of the EU's activities. </w:t>
      </w:r>
    </w:p>
    <w:p w14:paraId="38DF02CE" w14:textId="77777777" w:rsidR="007672FF" w:rsidRPr="00FD569C" w:rsidRDefault="007672FF" w:rsidP="007672FF">
      <w:pPr>
        <w:pStyle w:val="BodyText"/>
        <w:rPr>
          <w:sz w:val="22"/>
          <w:szCs w:val="22"/>
        </w:rPr>
      </w:pPr>
      <w:r w:rsidRPr="00FD569C">
        <w:rPr>
          <w:sz w:val="22"/>
          <w:szCs w:val="22"/>
        </w:rPr>
        <w:t xml:space="preserve">Applicant countries are required to accept the </w:t>
      </w:r>
      <w:proofErr w:type="spellStart"/>
      <w:r w:rsidRPr="00FD569C">
        <w:rPr>
          <w:sz w:val="22"/>
          <w:szCs w:val="22"/>
        </w:rPr>
        <w:t>acquis</w:t>
      </w:r>
      <w:proofErr w:type="spellEnd"/>
      <w:r w:rsidRPr="00FD569C">
        <w:rPr>
          <w:sz w:val="22"/>
          <w:szCs w:val="22"/>
        </w:rPr>
        <w:t xml:space="preserve"> before they can join the EU. Derogations from the </w:t>
      </w:r>
      <w:proofErr w:type="spellStart"/>
      <w:r w:rsidRPr="00FD569C">
        <w:rPr>
          <w:sz w:val="22"/>
          <w:szCs w:val="22"/>
        </w:rPr>
        <w:t>acquis</w:t>
      </w:r>
      <w:proofErr w:type="spellEnd"/>
      <w:r w:rsidRPr="00FD569C">
        <w:rPr>
          <w:sz w:val="22"/>
          <w:szCs w:val="22"/>
        </w:rPr>
        <w:t xml:space="preserve"> are granted only in exceptional circumstances and are limited in scope. The </w:t>
      </w:r>
      <w:proofErr w:type="spellStart"/>
      <w:r w:rsidRPr="00FD569C">
        <w:rPr>
          <w:sz w:val="22"/>
          <w:szCs w:val="22"/>
        </w:rPr>
        <w:t>acquis</w:t>
      </w:r>
      <w:proofErr w:type="spellEnd"/>
      <w:r w:rsidRPr="00FD569C">
        <w:rPr>
          <w:sz w:val="22"/>
          <w:szCs w:val="22"/>
        </w:rPr>
        <w:t xml:space="preserve"> must be incorporated by applicant countries into their national legal order by the date of their accession to the EU and they are obliged to apply it from that date.</w:t>
      </w:r>
    </w:p>
    <w:p w14:paraId="5E7B60FE" w14:textId="77777777" w:rsidR="007672FF" w:rsidRPr="00FD569C" w:rsidRDefault="007672FF" w:rsidP="007672FF">
      <w:pPr>
        <w:spacing w:after="120"/>
        <w:rPr>
          <w:sz w:val="22"/>
          <w:szCs w:val="22"/>
        </w:rPr>
      </w:pPr>
      <w:r w:rsidRPr="00FD569C">
        <w:rPr>
          <w:sz w:val="22"/>
          <w:szCs w:val="22"/>
        </w:rPr>
        <w:t>Thus it includes all treaties, all EU legislation valid today, all EU Court verdicts, all types of decis</w:t>
      </w:r>
      <w:r>
        <w:rPr>
          <w:sz w:val="22"/>
          <w:szCs w:val="22"/>
        </w:rPr>
        <w:t>i</w:t>
      </w:r>
      <w:r w:rsidRPr="00FD569C">
        <w:rPr>
          <w:sz w:val="22"/>
          <w:szCs w:val="22"/>
        </w:rPr>
        <w:t>ons arising from the Foreign and Security Policy and Justice and Home Affairs provisions of the Treaties, as well as so-called 'soft law' (a certain direction or understanding, but is not a legally binding statutory act. Examples are: expression of political declarations, resolutions, Council statements, summit conclusions of the EU Presidency, etc.</w:t>
      </w:r>
      <w:r>
        <w:rPr>
          <w:sz w:val="22"/>
          <w:szCs w:val="22"/>
        </w:rPr>
        <w:t>)</w:t>
      </w:r>
      <w:r w:rsidRPr="00FD569C">
        <w:rPr>
          <w:sz w:val="22"/>
          <w:szCs w:val="22"/>
        </w:rPr>
        <w:t xml:space="preserve"> They are decisions that are not legally binding, but are strong guidelines since they are adopted by the heads of state and government. </w:t>
      </w:r>
    </w:p>
    <w:p w14:paraId="3E44C70A" w14:textId="77777777" w:rsidR="007672FF" w:rsidRPr="00FD569C" w:rsidRDefault="007672FF" w:rsidP="007672FF">
      <w:pPr>
        <w:pStyle w:val="BodyText"/>
        <w:rPr>
          <w:sz w:val="22"/>
          <w:szCs w:val="22"/>
        </w:rPr>
      </w:pPr>
      <w:r w:rsidRPr="00FD569C">
        <w:rPr>
          <w:sz w:val="22"/>
          <w:szCs w:val="22"/>
        </w:rPr>
        <w:t xml:space="preserve">Political declarations may be used by the </w:t>
      </w:r>
      <w:hyperlink r:id="rId6" w:history="1">
        <w:r w:rsidRPr="00FD569C">
          <w:rPr>
            <w:rStyle w:val="Hyperlink"/>
            <w:sz w:val="22"/>
            <w:szCs w:val="22"/>
          </w:rPr>
          <w:t>EU Court</w:t>
        </w:r>
      </w:hyperlink>
      <w:r w:rsidRPr="00FD569C">
        <w:rPr>
          <w:sz w:val="22"/>
          <w:szCs w:val="22"/>
        </w:rPr>
        <w:t xml:space="preserve"> to interpret laws, and are therefore called "soft law". </w:t>
      </w:r>
    </w:p>
    <w:p w14:paraId="6F94B182" w14:textId="77777777" w:rsidR="007672FF" w:rsidRPr="00FD569C" w:rsidRDefault="007672FF" w:rsidP="007672FF">
      <w:pPr>
        <w:pStyle w:val="BodyText"/>
        <w:rPr>
          <w:sz w:val="22"/>
          <w:szCs w:val="22"/>
        </w:rPr>
      </w:pPr>
      <w:r w:rsidRPr="00FD569C">
        <w:rPr>
          <w:sz w:val="22"/>
          <w:szCs w:val="22"/>
        </w:rPr>
        <w:t xml:space="preserve">The Commission can also adopt a </w:t>
      </w:r>
      <w:r>
        <w:rPr>
          <w:sz w:val="22"/>
          <w:szCs w:val="22"/>
        </w:rPr>
        <w:t>‘</w:t>
      </w:r>
      <w:r w:rsidRPr="009E2E0A">
        <w:rPr>
          <w:sz w:val="22"/>
          <w:szCs w:val="22"/>
        </w:rPr>
        <w:t>communicatio</w:t>
      </w:r>
      <w:r>
        <w:rPr>
          <w:sz w:val="22"/>
          <w:szCs w:val="22"/>
        </w:rPr>
        <w:t>n’ [</w:t>
      </w:r>
      <w:r w:rsidRPr="00A25370">
        <w:rPr>
          <w:color w:val="0000FF"/>
          <w:sz w:val="22"/>
          <w:szCs w:val="22"/>
        </w:rPr>
        <w:t>http://en.euabc.com/word/2046</w:t>
      </w:r>
      <w:r>
        <w:rPr>
          <w:sz w:val="22"/>
          <w:szCs w:val="22"/>
        </w:rPr>
        <w:t xml:space="preserve">], </w:t>
      </w:r>
      <w:r w:rsidRPr="00FD569C">
        <w:rPr>
          <w:sz w:val="22"/>
          <w:szCs w:val="22"/>
        </w:rPr>
        <w:t>for instance regarding the rights of composers</w:t>
      </w:r>
      <w:r>
        <w:rPr>
          <w:sz w:val="22"/>
          <w:szCs w:val="22"/>
        </w:rPr>
        <w:t>,</w:t>
      </w:r>
      <w:r w:rsidRPr="00FD569C">
        <w:rPr>
          <w:sz w:val="22"/>
          <w:szCs w:val="22"/>
        </w:rPr>
        <w:t xml:space="preserve"> and then afterwards - based on this resolution - follow up by threats of lawsuits and fines. In this way, soft law can turn out to be quite binding.</w:t>
      </w:r>
      <w:r>
        <w:rPr>
          <w:sz w:val="22"/>
          <w:szCs w:val="22"/>
        </w:rPr>
        <w:t xml:space="preserve"> </w:t>
      </w:r>
      <w:r w:rsidRPr="00FD569C">
        <w:rPr>
          <w:sz w:val="22"/>
          <w:szCs w:val="22"/>
        </w:rPr>
        <w:t xml:space="preserve">The primacy of EU law over national law was explicitly declared in the rejected </w:t>
      </w:r>
      <w:hyperlink r:id="rId7" w:history="1">
        <w:r w:rsidRPr="00FD569C">
          <w:rPr>
            <w:rStyle w:val="Hyperlink"/>
            <w:sz w:val="22"/>
            <w:szCs w:val="22"/>
          </w:rPr>
          <w:t>EU Constitution Article I-6</w:t>
        </w:r>
      </w:hyperlink>
      <w:r w:rsidRPr="00FD569C">
        <w:rPr>
          <w:sz w:val="22"/>
          <w:szCs w:val="22"/>
        </w:rPr>
        <w:t xml:space="preserve">. This article was deleted in the </w:t>
      </w:r>
      <w:hyperlink r:id="rId8" w:history="1">
        <w:r w:rsidRPr="00FD569C">
          <w:rPr>
            <w:rStyle w:val="Hyperlink"/>
            <w:sz w:val="22"/>
            <w:szCs w:val="22"/>
          </w:rPr>
          <w:t>Lisbon Treaty</w:t>
        </w:r>
      </w:hyperlink>
      <w:r w:rsidRPr="00FD569C">
        <w:rPr>
          <w:sz w:val="22"/>
          <w:szCs w:val="22"/>
        </w:rPr>
        <w:t>. Instead, it was inserted as a footnote with the same content and with a specific reference to the Court</w:t>
      </w:r>
      <w:r>
        <w:rPr>
          <w:sz w:val="22"/>
          <w:szCs w:val="22"/>
        </w:rPr>
        <w:t>’s</w:t>
      </w:r>
      <w:r w:rsidRPr="00FD569C">
        <w:rPr>
          <w:sz w:val="22"/>
          <w:szCs w:val="22"/>
        </w:rPr>
        <w:t xml:space="preserve"> verdicts establishing the primacy of EU law. It can now be found in</w:t>
      </w:r>
      <w:r>
        <w:rPr>
          <w:sz w:val="22"/>
          <w:szCs w:val="22"/>
        </w:rPr>
        <w:t xml:space="preserve"> </w:t>
      </w:r>
      <w:hyperlink r:id="rId9" w:history="1">
        <w:r w:rsidRPr="007672FF">
          <w:rPr>
            <w:rStyle w:val="Hyperlink"/>
            <w:color w:val="0000FF"/>
            <w:sz w:val="22"/>
            <w:szCs w:val="22"/>
          </w:rPr>
          <w:t>Declaration Number 17</w:t>
        </w:r>
        <w:r w:rsidRPr="00FD569C">
          <w:rPr>
            <w:rStyle w:val="Hyperlink"/>
            <w:sz w:val="22"/>
            <w:szCs w:val="22"/>
          </w:rPr>
          <w:t xml:space="preserve"> attached to the Lisbon Treaty</w:t>
        </w:r>
      </w:hyperlink>
      <w:r w:rsidRPr="00FD569C">
        <w:rPr>
          <w:sz w:val="22"/>
          <w:szCs w:val="22"/>
        </w:rPr>
        <w:t>.</w:t>
      </w:r>
    </w:p>
    <w:p w14:paraId="126411B0" w14:textId="77777777" w:rsidR="00F84C73" w:rsidRPr="006B1AE2" w:rsidRDefault="00F84C73" w:rsidP="00F84C73">
      <w:pPr>
        <w:spacing w:after="120"/>
        <w:rPr>
          <w:sz w:val="22"/>
          <w:szCs w:val="22"/>
        </w:rPr>
      </w:pPr>
    </w:p>
    <w:sectPr w:rsidR="00F84C73" w:rsidRPr="006B1AE2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/>
      </w:rPr>
    </w:lvl>
  </w:abstractNum>
  <w:abstractNum w:abstractNumId="2">
    <w:nsid w:val="477D5557"/>
    <w:multiLevelType w:val="hybridMultilevel"/>
    <w:tmpl w:val="771CE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suppressTopSpacing/>
    <w:growAutofit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217"/>
    <w:rsid w:val="00006368"/>
    <w:rsid w:val="00025051"/>
    <w:rsid w:val="000801DD"/>
    <w:rsid w:val="0015573F"/>
    <w:rsid w:val="001930E2"/>
    <w:rsid w:val="001D5689"/>
    <w:rsid w:val="00262BD5"/>
    <w:rsid w:val="0038146A"/>
    <w:rsid w:val="004146BE"/>
    <w:rsid w:val="00575FD7"/>
    <w:rsid w:val="005E2783"/>
    <w:rsid w:val="00621474"/>
    <w:rsid w:val="00646217"/>
    <w:rsid w:val="006910D9"/>
    <w:rsid w:val="006B1AE2"/>
    <w:rsid w:val="007672FF"/>
    <w:rsid w:val="007E29E8"/>
    <w:rsid w:val="00813C0B"/>
    <w:rsid w:val="008748DD"/>
    <w:rsid w:val="009D021A"/>
    <w:rsid w:val="009D4D8B"/>
    <w:rsid w:val="00B4132A"/>
    <w:rsid w:val="00B43E47"/>
    <w:rsid w:val="00B95527"/>
    <w:rsid w:val="00C477B7"/>
    <w:rsid w:val="00C51514"/>
    <w:rsid w:val="00D43226"/>
    <w:rsid w:val="00EA265B"/>
    <w:rsid w:val="00EC4C1A"/>
    <w:rsid w:val="00F0470C"/>
    <w:rsid w:val="00F6770D"/>
    <w:rsid w:val="00F84C7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4103C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2FF"/>
    <w:pPr>
      <w:widowControl w:val="0"/>
      <w:suppressAutoHyphens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3">
    <w:name w:val="heading 3"/>
    <w:basedOn w:val="Normal"/>
    <w:next w:val="BodyText"/>
    <w:link w:val="Heading3Char"/>
    <w:qFormat/>
    <w:rsid w:val="007672FF"/>
    <w:pPr>
      <w:keepNext/>
      <w:numPr>
        <w:ilvl w:val="2"/>
        <w:numId w:val="1"/>
      </w:numPr>
      <w:spacing w:before="240" w:after="12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278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7672FF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Hyperlink">
    <w:name w:val="Hyperlink"/>
    <w:rsid w:val="007672FF"/>
  </w:style>
  <w:style w:type="paragraph" w:styleId="BodyText">
    <w:name w:val="Body Text"/>
    <w:basedOn w:val="Normal"/>
    <w:link w:val="BodyTextChar"/>
    <w:rsid w:val="007672FF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7672FF"/>
    <w:rPr>
      <w:rFonts w:ascii="Times New Roman" w:eastAsia="Times New Roman" w:hAnsi="Times New Roman" w:cs="Times New Roman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2FF"/>
    <w:pPr>
      <w:widowControl w:val="0"/>
      <w:suppressAutoHyphens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3">
    <w:name w:val="heading 3"/>
    <w:basedOn w:val="Normal"/>
    <w:next w:val="BodyText"/>
    <w:link w:val="Heading3Char"/>
    <w:qFormat/>
    <w:rsid w:val="007672FF"/>
    <w:pPr>
      <w:keepNext/>
      <w:numPr>
        <w:ilvl w:val="2"/>
        <w:numId w:val="1"/>
      </w:numPr>
      <w:spacing w:before="240" w:after="12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278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7672FF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Hyperlink">
    <w:name w:val="Hyperlink"/>
    <w:rsid w:val="007672FF"/>
  </w:style>
  <w:style w:type="paragraph" w:styleId="BodyText">
    <w:name w:val="Body Text"/>
    <w:basedOn w:val="Normal"/>
    <w:link w:val="BodyTextChar"/>
    <w:rsid w:val="007672FF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7672FF"/>
    <w:rPr>
      <w:rFonts w:ascii="Times New Roman" w:eastAsia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en.euabc.com/word/853" TargetMode="External"/><Relationship Id="rId7" Type="http://schemas.openxmlformats.org/officeDocument/2006/relationships/hyperlink" Target="http://europa.eu/scadplus/constitution/objectives_en.htm" TargetMode="External"/><Relationship Id="rId8" Type="http://schemas.openxmlformats.org/officeDocument/2006/relationships/hyperlink" Target="http://en.euabc.com/word/2077" TargetMode="External"/><Relationship Id="rId9" Type="http://schemas.openxmlformats.org/officeDocument/2006/relationships/hyperlink" Target="http://eur-lex.europa.eu/legal-content/EN/ALL/?uri=OJ:C:2007:306:TOC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</Words>
  <Characters>2947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Internexia</Company>
  <LinksUpToDate>false</LinksUpToDate>
  <CharactersWithSpaces>3457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Toeman</dc:creator>
  <cp:keywords/>
  <dc:description/>
  <cp:lastModifiedBy>David Toeman</cp:lastModifiedBy>
  <cp:revision>2</cp:revision>
  <dcterms:created xsi:type="dcterms:W3CDTF">2018-02-04T07:19:00Z</dcterms:created>
  <dcterms:modified xsi:type="dcterms:W3CDTF">2018-02-04T07:19:00Z</dcterms:modified>
  <cp:category/>
</cp:coreProperties>
</file>